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2"/>
        <w:bidi w:val="0"/>
        <w:spacing w:before="200" w:after="120"/>
        <w:jc w:val="both"/>
        <w:rPr/>
      </w:pPr>
      <w:r>
        <w:rPr>
          <w:rFonts w:eastAsia="Noto Serif CJK SC" w:cs="FreeSans" w:ascii="Times New Roman" w:hAnsi="Times New Roman"/>
          <w:b/>
          <w:bCs/>
          <w:sz w:val="24"/>
          <w:szCs w:val="24"/>
        </w:rPr>
        <w:t>A DESIGUALDADE RACIAL NO ACESSO AO</w:t>
      </w:r>
      <w:r>
        <w:rPr>
          <w:rFonts w:ascii="Times New Roman" w:hAnsi="Times New Roman"/>
          <w:sz w:val="24"/>
          <w:szCs w:val="24"/>
        </w:rPr>
        <w:t xml:space="preserve"> </w:t>
      </w:r>
      <w:r>
        <w:rPr>
          <w:rFonts w:ascii="Times New Roman" w:hAnsi="Times New Roman"/>
          <w:sz w:val="24"/>
          <w:szCs w:val="24"/>
        </w:rPr>
        <w:t>E</w:t>
      </w:r>
      <w:r>
        <w:rPr>
          <w:rFonts w:eastAsia="Noto Serif CJK SC" w:cs="FreeSans" w:ascii="Times New Roman" w:hAnsi="Times New Roman"/>
          <w:b/>
          <w:bCs/>
          <w:sz w:val="24"/>
          <w:szCs w:val="24"/>
        </w:rPr>
        <w:t>NSINO</w:t>
      </w:r>
      <w:r>
        <w:rPr>
          <w:rFonts w:ascii="Times New Roman" w:hAnsi="Times New Roman"/>
          <w:sz w:val="24"/>
          <w:szCs w:val="24"/>
        </w:rPr>
        <w:t xml:space="preserve"> JURÍDIC</w:t>
      </w:r>
      <w:r>
        <w:rPr>
          <w:rFonts w:eastAsia="Noto Serif CJK SC" w:cs="FreeSans" w:ascii="Times New Roman" w:hAnsi="Times New Roman"/>
          <w:b/>
          <w:bCs/>
          <w:sz w:val="24"/>
          <w:szCs w:val="24"/>
        </w:rPr>
        <w:t>O</w:t>
      </w:r>
      <w:r>
        <w:rPr>
          <w:rFonts w:ascii="Times New Roman" w:hAnsi="Times New Roman"/>
          <w:sz w:val="24"/>
          <w:szCs w:val="24"/>
        </w:rPr>
        <w:t xml:space="preserve"> </w:t>
      </w:r>
      <w:r>
        <w:rPr>
          <w:rFonts w:ascii="Times New Roman" w:hAnsi="Times New Roman"/>
          <w:sz w:val="24"/>
          <w:szCs w:val="24"/>
        </w:rPr>
        <w:t>DE PÓS-GRADUAÇÃO</w:t>
      </w:r>
      <w:r>
        <w:rPr>
          <w:rFonts w:eastAsia="Noto Serif CJK SC" w:cs="FreeSans" w:ascii="Times New Roman" w:hAnsi="Times New Roman"/>
          <w:b/>
          <w:bCs/>
          <w:sz w:val="24"/>
          <w:szCs w:val="24"/>
        </w:rPr>
        <w:t xml:space="preserve"> ESTADUNIDENSE: NOTAS SOBRE O ENSAIO “</w:t>
      </w:r>
      <w:r>
        <w:rPr>
          <w:rFonts w:eastAsia="Noto Serif CJK SC" w:cs="FreeSans" w:ascii="Times New Roman" w:hAnsi="Times New Roman"/>
          <w:b/>
          <w:bCs/>
          <w:i/>
          <w:iCs/>
          <w:sz w:val="24"/>
          <w:szCs w:val="24"/>
        </w:rPr>
        <w:t>RACE AND THE CORE CURRICULUM IN LEGAL EDUCATION</w:t>
      </w:r>
      <w:r>
        <w:rPr>
          <w:rFonts w:eastAsia="Noto Serif CJK SC" w:cs="FreeSans" w:ascii="Times New Roman" w:hAnsi="Times New Roman"/>
          <w:b/>
          <w:bCs/>
          <w:sz w:val="24"/>
          <w:szCs w:val="24"/>
        </w:rPr>
        <w:t>” DE FRANCES LEE ANSLEY</w:t>
      </w:r>
    </w:p>
    <w:p>
      <w:pPr>
        <w:pStyle w:val="Corpodotexto"/>
        <w:bidi w:val="0"/>
        <w:jc w:val="both"/>
        <w:rPr>
          <w:rFonts w:ascii="Times New Roman" w:hAnsi="Times New Roman" w:eastAsia="Noto Serif CJK SC" w:cs="FreeSans"/>
          <w:b/>
          <w:b/>
          <w:bCs/>
          <w:sz w:val="24"/>
          <w:szCs w:val="24"/>
        </w:rPr>
      </w:pPr>
      <w:r>
        <w:rPr/>
      </w:r>
    </w:p>
    <w:p>
      <w:pPr>
        <w:pStyle w:val="Corpodotexto"/>
        <w:bidi w:val="0"/>
        <w:jc w:val="both"/>
        <w:rPr>
          <w:rFonts w:ascii="Times New Roman" w:hAnsi="Times New Roman" w:eastAsia="Noto Serif CJK SC" w:cs="FreeSans"/>
          <w:b/>
          <w:b/>
          <w:bCs/>
          <w:sz w:val="24"/>
          <w:szCs w:val="24"/>
        </w:rPr>
      </w:pPr>
      <w:r>
        <w:rPr/>
      </w:r>
    </w:p>
    <w:p>
      <w:pPr>
        <w:pStyle w:val="Ttulo3"/>
        <w:bidi w:val="0"/>
        <w:jc w:val="both"/>
        <w:rPr>
          <w:rFonts w:ascii="Times New Roman" w:hAnsi="Times New Roman"/>
          <w:sz w:val="24"/>
          <w:szCs w:val="24"/>
        </w:rPr>
      </w:pPr>
      <w:r>
        <w:rPr>
          <w:rFonts w:ascii="Times New Roman" w:hAnsi="Times New Roman"/>
          <w:sz w:val="24"/>
          <w:szCs w:val="24"/>
        </w:rPr>
        <w:t>A. Introdução: A Tese</w:t>
      </w:r>
    </w:p>
    <w:p>
      <w:pPr>
        <w:pStyle w:val="Corpodotexto"/>
        <w:bidi w:val="0"/>
        <w:jc w:val="both"/>
        <w:rPr>
          <w:rFonts w:ascii="Times New Roman" w:hAnsi="Times New Roman"/>
          <w:sz w:val="24"/>
          <w:szCs w:val="24"/>
        </w:rPr>
      </w:pPr>
      <w:r>
        <w:rPr>
          <w:rFonts w:ascii="Times New Roman" w:hAnsi="Times New Roman"/>
          <w:sz w:val="24"/>
          <w:szCs w:val="24"/>
        </w:rPr>
        <w:t>Mesmo aqueles de nós que atuam em escolas de direito, com nossa frequentemente tênue e provisória relação com o restante da academia, não podem deixar de notar a controvérsia que atualmente domina o ambiente universitário mais amplo sobre "o cânone". O debate é tanto acalorado quanto abrangente.</w:t>
      </w:r>
    </w:p>
    <w:p>
      <w:pPr>
        <w:pStyle w:val="Corpodotexto"/>
        <w:bidi w:val="0"/>
        <w:jc w:val="both"/>
        <w:rPr>
          <w:rFonts w:ascii="Times New Roman" w:hAnsi="Times New Roman"/>
          <w:sz w:val="24"/>
          <w:szCs w:val="24"/>
        </w:rPr>
      </w:pPr>
      <w:r>
        <w:rPr>
          <w:rFonts w:ascii="Times New Roman" w:hAnsi="Times New Roman"/>
          <w:sz w:val="24"/>
          <w:szCs w:val="24"/>
        </w:rPr>
        <w:t>Alguns participantes desse debate temem que as sabedorias herdadas das diversas disciplinas estejam sofrendo erosão e desintegração em virtude de modismos irrefletidos e negligência. Como resultado, afirmam esses observadores, os estudantes atuais são culturalmente iletrados e apresentam lacunas alarmantes não apenas em seu conhecimento sobre nossa civilização e herança compartilhada, mas também em sua apreciação pelos grandes universais que unem a humanidade. Esses defensores de um cânone tradicional propõem a definição e a transmissão de um núcleo de obras clássicas como antídoto para essa deterioração da educação americana.</w:t>
      </w:r>
    </w:p>
    <w:p>
      <w:pPr>
        <w:pStyle w:val="Corpodotexto"/>
        <w:bidi w:val="0"/>
        <w:jc w:val="both"/>
        <w:rPr>
          <w:rFonts w:ascii="Times New Roman" w:hAnsi="Times New Roman"/>
          <w:sz w:val="24"/>
          <w:szCs w:val="24"/>
        </w:rPr>
      </w:pPr>
      <w:r>
        <w:rPr>
          <w:rFonts w:ascii="Times New Roman" w:hAnsi="Times New Roman"/>
          <w:sz w:val="24"/>
          <w:szCs w:val="24"/>
        </w:rPr>
        <w:t>Outros percebem esse núcleo herdado - celebrado pelos defensores do cânone - como oferecendo uma falsa universalidade, profundamente falho - até mesmo opressivo - em sua exclusão ou subordinação largamente não examinada de mulheres, pessoas não brancas, povos não ocidentais e pessoas sem poder. Esses críticos afirmam que a necessidade mais urgente no desenvolvimento curricular não é um retorno à preservação de um núcleo elitista, branco, masculino e paroquial, mas sim a inclusão consciente de histórias e narrativas anteriormente suprimidas ou ignoradas, em nome de uma maior justiça para os desfavorecidos e de uma educação mais eficaz para todos.</w:t>
      </w:r>
    </w:p>
    <w:p>
      <w:pPr>
        <w:pStyle w:val="Corpodotexto"/>
        <w:bidi w:val="0"/>
        <w:jc w:val="both"/>
        <w:rPr>
          <w:rFonts w:ascii="Times New Roman" w:hAnsi="Times New Roman"/>
          <w:sz w:val="24"/>
          <w:szCs w:val="24"/>
        </w:rPr>
      </w:pPr>
      <w:r>
        <w:rPr>
          <w:rFonts w:ascii="Times New Roman" w:hAnsi="Times New Roman"/>
          <w:sz w:val="24"/>
          <w:szCs w:val="24"/>
        </w:rPr>
        <w:t>Este ensaio adota a posição de que a educação jurídica ocupa uma posição peculiar nesse debate e nas questões que o circundam — uma posição que nos coloca, de certa forma, atrasados, mas por outro lado, à frente de nossos colegas de outras disciplinas. Por um lado, as escolas de direito estão atrasadas no enfrentamento das questões colocadas pelo debate sobre o cânone. Nosso currículo básico permanece surpreendentemente inalterado e pouco examinado em comparação com o restante da academia. Por outro lado, em razão de certos aspectos marcantes da história jurídica americana, deveríamos nos encontrar, paradoxalmente, mais adiantados na capacidade de alcançar um consenso provisório sobre uma questão crucial que ainda divide profundamente nossos colegas não juristas: a centralidade dos textos, temas e disputas raciais para uma compreensão educada da nossa disciplina e de sua herança.</w:t>
      </w:r>
    </w:p>
    <w:p>
      <w:pPr>
        <w:pStyle w:val="Corpodotexto"/>
        <w:bidi w:val="0"/>
        <w:jc w:val="both"/>
        <w:rPr>
          <w:rFonts w:ascii="Times New Roman" w:hAnsi="Times New Roman"/>
          <w:sz w:val="24"/>
          <w:szCs w:val="24"/>
        </w:rPr>
      </w:pPr>
      <w:r>
        <w:rPr>
          <w:rFonts w:ascii="Times New Roman" w:hAnsi="Times New Roman"/>
          <w:sz w:val="24"/>
          <w:szCs w:val="24"/>
        </w:rPr>
        <w:t>Se a história da Constituição dos Estados Unidos e do sistema jurídico americano nos ensina algo, certamente uma de suas mensagens centrais é que a raça desempenhou um papel fundamental em muitos momentos críticos e formativos do nosso desenvolvimento.</w:t>
      </w:r>
    </w:p>
    <w:p>
      <w:pPr>
        <w:pStyle w:val="Ttulo3"/>
        <w:bidi w:val="0"/>
        <w:jc w:val="both"/>
        <w:rPr>
          <w:rFonts w:ascii="Times New Roman" w:hAnsi="Times New Roman"/>
          <w:sz w:val="24"/>
          <w:szCs w:val="24"/>
        </w:rPr>
      </w:pPr>
      <w:r>
        <w:rPr>
          <w:rFonts w:ascii="Times New Roman" w:hAnsi="Times New Roman"/>
          <w:sz w:val="24"/>
          <w:szCs w:val="24"/>
        </w:rPr>
        <w:t>B. O Currículo Jurídico Central:</w:t>
      </w:r>
    </w:p>
    <w:p>
      <w:pPr>
        <w:pStyle w:val="Ttulo4"/>
        <w:bidi w:val="0"/>
        <w:jc w:val="left"/>
        <w:rPr/>
      </w:pPr>
      <w:r>
        <w:rPr/>
        <w:t>1. Seu Atraso:</w:t>
      </w:r>
    </w:p>
    <w:p>
      <w:pPr>
        <w:pStyle w:val="Corpodotexto"/>
        <w:bidi w:val="0"/>
        <w:jc w:val="both"/>
        <w:rPr/>
      </w:pPr>
      <w:r>
        <w:rPr/>
        <w:t>Em certo nível, a educação jurídica parece isolada das tendências do restante da academia, na medida em que o currículo básico permanece inalterado em todo o seu esplendor monumental, com os pés firmemente plantados no currículo do primeiro ano. Apesar das profundas mudanças no direito constitucional, estatutário e comum; da impressionante centralização e complexificação do Estado e da economia; do desenvolvimento de um novo perfil demográfico no corpo discente e docente; e de alterações radicais na natureza e prática da advocacia americana — o currículo básico persiste.</w:t>
      </w:r>
    </w:p>
    <w:p>
      <w:pPr>
        <w:pStyle w:val="Corpodotexto"/>
        <w:bidi w:val="0"/>
        <w:jc w:val="both"/>
        <w:rPr/>
      </w:pPr>
      <w:r>
        <w:rPr/>
        <w:t>Nas áreas “periféricas” da educação jurídica (por exemplo, nos cursos que focam legislação, habilidades práticas ou abordagens interdisciplinares), muitas mudanças ocorreram. Mas, se comparada com a diversidade desconcertante de programas obrigatórios que surgiram nas últimas duas décadas nos cursos de graduação em todo o país, a educação jurídica se mostra surpreendente em seu preservacionismo. Embora tentativas ocasionais e sérias de reestruturar os requisitos da escola de direito tenham sido empreendidas no passado, e embora algumas alternativas provocativas e interessantes estejam sendo experimentadas no presente, os cursos centrais continuam com uma semelhança notável e pouquíssima contestação significativa.</w:t>
      </w:r>
    </w:p>
    <w:p>
      <w:pPr>
        <w:pStyle w:val="Corpodotexto"/>
        <w:bidi w:val="0"/>
        <w:jc w:val="both"/>
        <w:rPr/>
      </w:pPr>
      <w:r>
        <w:rPr/>
        <w:t>No entanto, com o surgimento de novos modos de discurso na produção acadêmica jurídica — modos que desafiam a legitimidade de pressupostos há muito não examinados —, podemos começar a ver algumas das mesmas divergências, questionamentos e instabilidades que já observamos em outras áreas do saber. Estudos críticos do direito, direito e economia, teoria feminista e, mais recentemente, a teoria crítica da raça representam tais desafios. Por ora, contudo, o núcleo permanece.</w:t>
      </w:r>
    </w:p>
    <w:p>
      <w:pPr>
        <w:pStyle w:val="Corpodotexto"/>
        <w:bidi w:val="0"/>
        <w:jc w:val="both"/>
        <w:rPr/>
      </w:pPr>
      <w:r>
        <w:rPr/>
        <w:t>Pode-se facilmente ter sentimentos ambivalentes quanto a esse estado de coisas. Muitas das críticas feitas ao cânone nos cursos de graduação podem ser aplicadas ao currículo padrão das escolas de direito. Quais histórias, necessidades e interesses são omitidos e quais são ouvidos? Os materiais apresentados são etnocêntricos? Centrados no masculino? Limitados pela raça? Fazer muitas dessas perguntas já é, em parte, respondê-las.</w:t>
      </w:r>
    </w:p>
    <w:p>
      <w:pPr>
        <w:pStyle w:val="Corpodotexto"/>
        <w:bidi w:val="0"/>
        <w:jc w:val="both"/>
        <w:rPr/>
      </w:pPr>
      <w:r>
        <w:rPr/>
        <w:t>Por outro lado, muitos se perguntarão: o que mais deveria ser o foco da educação jurídica, senão as ferramentas, os elementos e as criações da nossa cultura jurídica? E, embora nossos materiais possam parecer dominados pelas preocupações e problemas de homens brancos ocidentais de condição confortável, alguns dirão que essas preocupações são, em essência, universais, resolvíveis por meio de princípios igualmente universais.</w:t>
      </w:r>
    </w:p>
    <w:p>
      <w:pPr>
        <w:pStyle w:val="Corpodotexto"/>
        <w:bidi w:val="0"/>
        <w:jc w:val="both"/>
        <w:rPr/>
      </w:pPr>
      <w:r>
        <w:rPr/>
        <w:t xml:space="preserve">Contudo, neste ensaio, não pretendo empreender uma consideração completa dessas fascinantes questões, nem tentar imaginar um currículo inteiramente alternativo (ou uma abordagem significativamente modificada do currículo atual). Em vez disso, sustentarei que os educadores jurídicos deveriam ser capazes de alcançar um consenso relativamente amplo e rápido sobre um tema do debate do cânone: </w:t>
      </w:r>
      <w:r>
        <w:rPr>
          <w:rStyle w:val="Nfaseforte"/>
        </w:rPr>
        <w:t>a centralidade do discurso racial em nosso campo de investigação intelectual</w:t>
      </w:r>
      <w:r>
        <w:rPr/>
        <w:t>.</w:t>
      </w:r>
    </w:p>
    <w:p>
      <w:pPr>
        <w:pStyle w:val="Ttulo4"/>
        <w:bidi w:val="0"/>
        <w:jc w:val="both"/>
        <w:rPr/>
      </w:pPr>
      <w:r>
        <w:rPr/>
        <w:t>2. Suas Vantagens:</w:t>
      </w:r>
    </w:p>
    <w:p>
      <w:pPr>
        <w:pStyle w:val="Corpodotexto"/>
        <w:bidi w:val="0"/>
        <w:jc w:val="both"/>
        <w:rPr/>
      </w:pPr>
      <w:r>
        <w:rPr/>
        <w:t>Uma característica central do debate mais amplo sobre o cânone na academia tem sido a insistência, por um dos lados, de que as questões raciais merecem maior atenção do que tradicionalmente receberam. Esses defensores da inclusão defendem a exploração das vidas, preocupações e experiências de pessoas não brancas, a celebração e a crítica de suas criações e a análise das atitudes, ideias e instituições dominantes que contribuíram para o status subordinado por elas vivenciado.</w:t>
      </w:r>
    </w:p>
    <w:p>
      <w:pPr>
        <w:pStyle w:val="Corpodotexto"/>
        <w:bidi w:val="0"/>
        <w:jc w:val="both"/>
        <w:rPr/>
      </w:pPr>
      <w:r>
        <w:rPr/>
        <w:t>É claro que dificilmente algum acadêmico hoje objetaria ao estudo da obra, vida ou preocupações de uma pessoa negra apenas por causa da cor de sua pele. No entanto, os apelos por um estudo centrado na raça têm encontrado forte resistência, incluindo a alegação de que faltam textos de qualidade adequada (o chamado “problema do grupo qualificado”) e a observação de que há recursos insuficientes para viabilizar tal expansão.</w:t>
      </w:r>
    </w:p>
    <w:p>
      <w:pPr>
        <w:pStyle w:val="Corpodotexto"/>
        <w:bidi w:val="0"/>
        <w:jc w:val="both"/>
        <w:rPr/>
      </w:pPr>
      <w:r>
        <w:rPr/>
        <w:t xml:space="preserve">As comunidades das escolas de direito certamente não estão em posição melhor que qualquer outra neste país racialmente dividido para alcançar um consenso geral sobre questões raciais. Ainda assim, nosso patrimônio particular como juristas norte-americanos — enquanto observadores e intérpretes do direito americano — nos coloca numa posição mais avançada para entrar nesse debate sobre o lugar da raça no currículo. Argumentos sobre a escassez de textos relevantes sobre raça ou sobre limitações de recursos podem incomodar nossos colegas de outras áreas, mas parecem simplesmente irrelevantes em uma disciplina cujo cânone, por qualquer definição razoável, </w:t>
      </w:r>
      <w:r>
        <w:rPr>
          <w:rStyle w:val="Nfaseforte"/>
        </w:rPr>
        <w:t>deve incluir a Constituição de 1787, as Emendas XIII, XIV e XV, e o caso Brown v. Board of Education.</w:t>
      </w:r>
    </w:p>
    <w:p>
      <w:pPr>
        <w:pStyle w:val="Corpodotexto"/>
        <w:bidi w:val="0"/>
        <w:jc w:val="both"/>
        <w:rPr/>
      </w:pPr>
      <w:r>
        <w:rPr/>
        <w:t>Atualmente, a vantagem da educação jurídica nesse aspecto é mais uma oportunidade do que uma realização plena. É uma oportunidade que devemos abraçar com entusiasmo. Nosso cânone já é um cânone racialmente integrado e deve ser conscientemente ensinado como tal. Estudantes de Direito nos Estados Unidos não devem sair da faculdade de direito no final do século XX sem uma formação sólida e explícita sobre o papel que a raça desempenhou na criação e transformação das instituições jurídicas centrais. O poder e o fardo da raça, tanto no passado quanto no presente, devem ser vistos como partes indispensáveis da alfabetização cultural e constitucional mínima exigida dos profissionais e teóricos do Direito que enviamos para o mundo.</w:t>
      </w:r>
    </w:p>
    <w:p>
      <w:pPr>
        <w:pStyle w:val="Normal"/>
        <w:bidi w:val="0"/>
        <w:jc w:val="both"/>
        <w:rPr>
          <w:rFonts w:ascii="Times New Roman" w:hAnsi="Times New Roman"/>
          <w:sz w:val="24"/>
          <w:szCs w:val="24"/>
        </w:rPr>
      </w:pPr>
      <w:r>
        <w:rPr>
          <w:rFonts w:ascii="Times New Roman" w:hAnsi="Times New Roman"/>
          <w:sz w:val="24"/>
          <w:szCs w:val="24"/>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pt-B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pt-BR" w:eastAsia="zh-CN" w:bidi="hi-IN"/>
    </w:rPr>
  </w:style>
  <w:style w:type="paragraph" w:styleId="Ttulo2">
    <w:name w:val="Heading 2"/>
    <w:basedOn w:val="Ttulo"/>
    <w:next w:val="Corpodotexto"/>
    <w:qFormat/>
    <w:pPr>
      <w:spacing w:before="200" w:after="120"/>
      <w:outlineLvl w:val="1"/>
    </w:pPr>
    <w:rPr>
      <w:rFonts w:ascii="Liberation Serif" w:hAnsi="Liberation Serif" w:eastAsia="Noto Serif CJK SC" w:cs="FreeSans"/>
      <w:b/>
      <w:bCs/>
      <w:sz w:val="36"/>
      <w:szCs w:val="36"/>
    </w:rPr>
  </w:style>
  <w:style w:type="paragraph" w:styleId="Ttulo3">
    <w:name w:val="Heading 3"/>
    <w:basedOn w:val="Ttulo"/>
    <w:next w:val="Corpodotexto"/>
    <w:qFormat/>
    <w:pPr>
      <w:spacing w:before="140" w:after="120"/>
      <w:outlineLvl w:val="2"/>
    </w:pPr>
    <w:rPr>
      <w:rFonts w:ascii="Liberation Serif" w:hAnsi="Liberation Serif" w:eastAsia="Noto Serif CJK SC" w:cs="FreeSans"/>
      <w:b/>
      <w:bCs/>
      <w:sz w:val="28"/>
      <w:szCs w:val="28"/>
    </w:rPr>
  </w:style>
  <w:style w:type="paragraph" w:styleId="Ttulo4">
    <w:name w:val="Heading 4"/>
    <w:basedOn w:val="Ttulo"/>
    <w:next w:val="Corpodotexto"/>
    <w:qFormat/>
    <w:pPr>
      <w:spacing w:before="120" w:after="120"/>
      <w:outlineLvl w:val="3"/>
    </w:pPr>
    <w:rPr>
      <w:rFonts w:ascii="Liberation Serif" w:hAnsi="Liberation Serif" w:eastAsia="Noto Serif CJK SC" w:cs="FreeSans"/>
      <w:b/>
      <w:bCs/>
      <w:sz w:val="24"/>
      <w:szCs w:val="24"/>
    </w:rPr>
  </w:style>
  <w:style w:type="character" w:styleId="Nfaseforte">
    <w:name w:val="Ênfase forte"/>
    <w:qFormat/>
    <w:rPr>
      <w:b/>
      <w:bCs/>
    </w:rPr>
  </w:style>
  <w:style w:type="paragraph" w:styleId="Ttulo">
    <w:name w:val="Título"/>
    <w:basedOn w:val="Normal"/>
    <w:next w:val="Corpodotexto"/>
    <w:qFormat/>
    <w:pPr>
      <w:keepNext w:val="true"/>
      <w:spacing w:before="240" w:after="120"/>
    </w:pPr>
    <w:rPr>
      <w:rFonts w:ascii="Liberation Sans" w:hAnsi="Liberation Sans" w:eastAsia="Noto Sans CJK SC" w:cs="Free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FreeSans"/>
    </w:rPr>
  </w:style>
  <w:style w:type="paragraph" w:styleId="Leg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nhahorizontal">
    <w:name w:val="Linha horizontal"/>
    <w:basedOn w:val="Normal"/>
    <w:next w:val="Corpodotexto"/>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23</TotalTime>
  <Application>LibreOffice/7.0.4.2$Linux_X86_64 LibreOffice_project/00$Build-2</Application>
  <AppVersion>15.0000</AppVersion>
  <Pages>3</Pages>
  <Words>1263</Words>
  <Characters>7236</Characters>
  <CharactersWithSpaces>8484</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2025-07-03T10:54:31Z</dcterms:created>
  <dc:creator/>
  <dc:description/>
  <dc:language>pt-BR</dc:language>
  <cp:lastModifiedBy/>
  <dcterms:modified xsi:type="dcterms:W3CDTF">2025-07-03T11:17:46Z</dcterms:modified>
  <cp:revision>3</cp:revision>
  <dc:subject/>
  <dc:title/>
</cp:coreProperties>
</file>